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FDA12E">
      <w:pPr>
        <w:spacing w:line="360" w:lineRule="auto"/>
        <w:rPr>
          <w:rFonts w:hint="eastAsia"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附件1：</w:t>
      </w:r>
    </w:p>
    <w:p w14:paraId="451D4956">
      <w:pPr>
        <w:spacing w:after="156" w:afterLines="50" w:line="360" w:lineRule="auto"/>
        <w:jc w:val="center"/>
        <w:rPr>
          <w:rFonts w:hint="eastAsia" w:ascii="宋体" w:hAnsi="宋体" w:eastAsia="宋体"/>
          <w:b/>
          <w:sz w:val="32"/>
          <w:szCs w:val="32"/>
        </w:rPr>
      </w:pPr>
      <w:r>
        <w:rPr>
          <w:rFonts w:ascii="宋体" w:hAnsi="宋体" w:eastAsia="宋体"/>
          <w:b/>
          <w:sz w:val="32"/>
          <w:szCs w:val="32"/>
        </w:rPr>
        <w:t>回执表</w:t>
      </w:r>
    </w:p>
    <w:tbl>
      <w:tblPr>
        <w:tblStyle w:val="2"/>
        <w:tblW w:w="83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1870"/>
        <w:gridCol w:w="2241"/>
        <w:gridCol w:w="2410"/>
      </w:tblGrid>
      <w:tr w14:paraId="16563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838" w:type="dxa"/>
            <w:tcBorders>
              <w:right w:val="single" w:color="auto" w:sz="4" w:space="0"/>
            </w:tcBorders>
            <w:vAlign w:val="center"/>
          </w:tcPr>
          <w:p w14:paraId="0F934A1A">
            <w:pPr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  <w:t>单位名称</w:t>
            </w:r>
          </w:p>
        </w:tc>
        <w:tc>
          <w:tcPr>
            <w:tcW w:w="6521" w:type="dxa"/>
            <w:gridSpan w:val="3"/>
            <w:tcBorders>
              <w:right w:val="single" w:color="auto" w:sz="4" w:space="0"/>
            </w:tcBorders>
            <w:vAlign w:val="center"/>
          </w:tcPr>
          <w:p w14:paraId="208E8377">
            <w:pPr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</w:tr>
      <w:tr w14:paraId="6F3B8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1" w:hRule="atLeast"/>
          <w:jc w:val="center"/>
        </w:trPr>
        <w:tc>
          <w:tcPr>
            <w:tcW w:w="1838" w:type="dxa"/>
          </w:tcPr>
          <w:p w14:paraId="03E273B6">
            <w:pPr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  <w:t>单位地址</w:t>
            </w:r>
          </w:p>
        </w:tc>
        <w:tc>
          <w:tcPr>
            <w:tcW w:w="6521" w:type="dxa"/>
            <w:gridSpan w:val="3"/>
          </w:tcPr>
          <w:p w14:paraId="217DB954"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</w:tr>
      <w:tr w14:paraId="29B18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7" w:hRule="atLeast"/>
          <w:jc w:val="center"/>
        </w:trPr>
        <w:tc>
          <w:tcPr>
            <w:tcW w:w="1838" w:type="dxa"/>
            <w:tcBorders>
              <w:bottom w:val="single" w:color="auto" w:sz="4" w:space="0"/>
            </w:tcBorders>
          </w:tcPr>
          <w:p w14:paraId="597ADCD2">
            <w:pPr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  <w:t>姓名</w:t>
            </w:r>
          </w:p>
        </w:tc>
        <w:tc>
          <w:tcPr>
            <w:tcW w:w="1870" w:type="dxa"/>
            <w:tcBorders>
              <w:bottom w:val="single" w:color="auto" w:sz="4" w:space="0"/>
            </w:tcBorders>
          </w:tcPr>
          <w:p w14:paraId="59765AE6">
            <w:pPr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  <w:t>职务</w:t>
            </w:r>
          </w:p>
        </w:tc>
        <w:tc>
          <w:tcPr>
            <w:tcW w:w="2241" w:type="dxa"/>
            <w:tcBorders>
              <w:bottom w:val="single" w:color="auto" w:sz="4" w:space="0"/>
            </w:tcBorders>
          </w:tcPr>
          <w:p w14:paraId="2C8A1800">
            <w:pPr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  <w:t>手机</w:t>
            </w:r>
          </w:p>
        </w:tc>
        <w:tc>
          <w:tcPr>
            <w:tcW w:w="2410" w:type="dxa"/>
            <w:tcBorders>
              <w:bottom w:val="single" w:color="auto" w:sz="4" w:space="0"/>
            </w:tcBorders>
          </w:tcPr>
          <w:p w14:paraId="48C787CC">
            <w:pPr>
              <w:spacing w:line="360" w:lineRule="auto"/>
              <w:jc w:val="center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  <w:t>邮箱</w:t>
            </w:r>
          </w:p>
        </w:tc>
      </w:tr>
      <w:tr w14:paraId="19A56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7" w:hRule="atLeast"/>
          <w:jc w:val="center"/>
        </w:trPr>
        <w:tc>
          <w:tcPr>
            <w:tcW w:w="1838" w:type="dxa"/>
          </w:tcPr>
          <w:p w14:paraId="1ABF5C56"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  <w:tc>
          <w:tcPr>
            <w:tcW w:w="1870" w:type="dxa"/>
          </w:tcPr>
          <w:p w14:paraId="3A4611A1"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  <w:tc>
          <w:tcPr>
            <w:tcW w:w="2241" w:type="dxa"/>
          </w:tcPr>
          <w:p w14:paraId="2D1F24C8"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  <w:tc>
          <w:tcPr>
            <w:tcW w:w="2410" w:type="dxa"/>
          </w:tcPr>
          <w:p w14:paraId="1ED2D796"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</w:tr>
      <w:tr w14:paraId="3ED2C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7" w:hRule="atLeast"/>
          <w:jc w:val="center"/>
        </w:trPr>
        <w:tc>
          <w:tcPr>
            <w:tcW w:w="1838" w:type="dxa"/>
            <w:tcBorders>
              <w:bottom w:val="single" w:color="auto" w:sz="4" w:space="0"/>
            </w:tcBorders>
          </w:tcPr>
          <w:p w14:paraId="789BF958"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  <w:tc>
          <w:tcPr>
            <w:tcW w:w="1870" w:type="dxa"/>
            <w:tcBorders>
              <w:bottom w:val="single" w:color="auto" w:sz="4" w:space="0"/>
            </w:tcBorders>
          </w:tcPr>
          <w:p w14:paraId="12B99BBC"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  <w:tc>
          <w:tcPr>
            <w:tcW w:w="2241" w:type="dxa"/>
            <w:tcBorders>
              <w:bottom w:val="single" w:color="auto" w:sz="4" w:space="0"/>
            </w:tcBorders>
          </w:tcPr>
          <w:p w14:paraId="75982B06"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  <w:tc>
          <w:tcPr>
            <w:tcW w:w="2410" w:type="dxa"/>
            <w:tcBorders>
              <w:bottom w:val="single" w:color="auto" w:sz="4" w:space="0"/>
            </w:tcBorders>
          </w:tcPr>
          <w:p w14:paraId="69B77A11">
            <w:pPr>
              <w:spacing w:line="360" w:lineRule="auto"/>
              <w:rPr>
                <w:rFonts w:hint="eastAsia" w:ascii="仿宋" w:hAnsi="仿宋" w:eastAsia="仿宋" w:cs="仿宋"/>
                <w:b/>
                <w:bCs/>
                <w:spacing w:val="36"/>
                <w:sz w:val="28"/>
                <w:szCs w:val="28"/>
              </w:rPr>
            </w:pPr>
          </w:p>
        </w:tc>
      </w:tr>
    </w:tbl>
    <w:p w14:paraId="36FB2B54">
      <w:pPr>
        <w:spacing w:line="360" w:lineRule="auto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宋体" w:hAnsi="宋体" w:eastAsia="宋体"/>
          <w:bCs/>
          <w:sz w:val="24"/>
          <w:szCs w:val="24"/>
        </w:rPr>
        <w:t>注：</w:t>
      </w:r>
      <w:r>
        <w:rPr>
          <w:rFonts w:hint="eastAsia" w:ascii="仿宋" w:hAnsi="仿宋" w:eastAsia="仿宋" w:cs="仿宋"/>
          <w:sz w:val="24"/>
          <w:szCs w:val="24"/>
        </w:rPr>
        <w:t>1.</w:t>
      </w:r>
      <w:r>
        <w:rPr>
          <w:rFonts w:hint="eastAsia" w:ascii="仿宋" w:hAnsi="仿宋" w:eastAsia="仿宋" w:cs="仿宋"/>
          <w:b/>
          <w:bCs/>
          <w:sz w:val="24"/>
          <w:szCs w:val="24"/>
        </w:rPr>
        <w:t>请填写参会回执并盖章回传，确认参会；</w:t>
      </w:r>
    </w:p>
    <w:p w14:paraId="5CBA17E5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2.第二次标准制修订工作会免费</w:t>
      </w:r>
    </w:p>
    <w:p w14:paraId="6A3398FC">
      <w:pPr>
        <w:spacing w:line="360" w:lineRule="auto"/>
        <w:ind w:firstLine="480" w:firstLineChars="200"/>
        <w:jc w:val="left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3.本次会议不安排食宿，请自行预定酒店。如需入住雷迪森维嘉酒店(绍兴国际会展中心店)，可联系酒店销售经理：王海峰，15088543232。</w:t>
      </w:r>
    </w:p>
    <w:p w14:paraId="1564F166">
      <w:r>
        <w:rPr>
          <w:rFonts w:hint="eastAsia" w:ascii="仿宋" w:hAnsi="仿宋" w:eastAsia="仿宋" w:cs="仿宋"/>
          <w:sz w:val="24"/>
          <w:szCs w:val="24"/>
        </w:rPr>
        <w:t>4.请于11月14日前扫码填写回执或反馈回执至cppiattbz@163.com邮箱。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4E0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2025-10-21T07:20:28Z</dcterms:created>
  <dc:creator>14790</dc:creator>
  <cp:lastModifiedBy>谢恒杰</cp:lastModifiedBy>
  <dcterms:modified xsi:type="dcterms:W3CDTF">2025-10-21T07:20:31Z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eyJoZGlkIjoiNjM5NDg1MjFkZjJhNGE4ZjZkOGEwODU2NTNhYmQ3OTYiLCJ1c2VySWQiOiIxNTcyMzU3MTcwIn0=</vt:lpwstr>
  </property>
  <property fmtid="{D5CDD505-2E9C-101B-9397-08002B2CF9AE}" pid="4" name="ICV">
    <vt:lpwstr>3427D508550E4943A3678BE9EF15EB80_12</vt:lpwstr>
  </property>
</Properties>
</file>